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6508E" w14:textId="77777777" w:rsidR="00210DD2" w:rsidRPr="005119AE" w:rsidRDefault="00210DD2" w:rsidP="00210DD2">
      <w:pPr>
        <w:spacing w:after="0" w:line="240" w:lineRule="auto"/>
        <w:jc w:val="center"/>
        <w:rPr>
          <w:rFonts w:ascii="Poppins" w:hAnsi="Poppins" w:cs="Poppins"/>
          <w:b/>
          <w:bCs/>
          <w:sz w:val="24"/>
        </w:rPr>
      </w:pPr>
    </w:p>
    <w:p w14:paraId="55E2F16B" w14:textId="77777777" w:rsidR="00A40A8C" w:rsidRPr="005119AE" w:rsidRDefault="00A40A8C" w:rsidP="00A40A8C">
      <w:pPr>
        <w:spacing w:after="0" w:line="240" w:lineRule="auto"/>
        <w:jc w:val="center"/>
        <w:rPr>
          <w:rFonts w:ascii="Poppins" w:hAnsi="Poppins" w:cs="Poppins"/>
          <w:b/>
          <w:sz w:val="20"/>
          <w:szCs w:val="20"/>
        </w:rPr>
      </w:pPr>
      <w:r w:rsidRPr="005119AE">
        <w:rPr>
          <w:rFonts w:ascii="Poppins" w:hAnsi="Poppins" w:cs="Poppins"/>
          <w:b/>
          <w:sz w:val="20"/>
          <w:szCs w:val="20"/>
        </w:rPr>
        <w:t>Agenda - Healthwatch Cornwall Board Meeting</w:t>
      </w:r>
    </w:p>
    <w:p w14:paraId="7E546A17" w14:textId="77777777" w:rsidR="00A40A8C" w:rsidRPr="005119AE" w:rsidRDefault="00A40A8C" w:rsidP="00A40A8C">
      <w:pPr>
        <w:spacing w:after="0" w:line="240" w:lineRule="auto"/>
        <w:jc w:val="center"/>
        <w:rPr>
          <w:rFonts w:ascii="Poppins" w:hAnsi="Poppins" w:cs="Poppins"/>
          <w:b/>
          <w:sz w:val="20"/>
          <w:szCs w:val="20"/>
        </w:rPr>
      </w:pPr>
      <w:r w:rsidRPr="005119AE">
        <w:rPr>
          <w:rFonts w:ascii="Poppins" w:hAnsi="Poppins" w:cs="Poppins"/>
          <w:b/>
          <w:sz w:val="20"/>
          <w:szCs w:val="20"/>
        </w:rPr>
        <w:t xml:space="preserve">Suite 1, </w:t>
      </w:r>
      <w:proofErr w:type="spellStart"/>
      <w:r w:rsidRPr="005119AE">
        <w:rPr>
          <w:rFonts w:ascii="Poppins" w:hAnsi="Poppins" w:cs="Poppins"/>
          <w:b/>
          <w:sz w:val="20"/>
          <w:szCs w:val="20"/>
        </w:rPr>
        <w:t>Calenick</w:t>
      </w:r>
      <w:proofErr w:type="spellEnd"/>
      <w:r w:rsidRPr="005119AE">
        <w:rPr>
          <w:rFonts w:ascii="Poppins" w:hAnsi="Poppins" w:cs="Poppins"/>
          <w:b/>
          <w:sz w:val="20"/>
          <w:szCs w:val="20"/>
        </w:rPr>
        <w:t xml:space="preserve"> House, Heron Way, Newham, Truro TR1 2XN</w:t>
      </w:r>
    </w:p>
    <w:p w14:paraId="603D8AD8" w14:textId="70EAFF06" w:rsidR="00AA6F44" w:rsidRPr="005119AE" w:rsidRDefault="00A40A8C" w:rsidP="005119AE">
      <w:pPr>
        <w:spacing w:after="0" w:line="240" w:lineRule="auto"/>
        <w:jc w:val="center"/>
        <w:rPr>
          <w:rFonts w:ascii="Poppins" w:hAnsi="Poppins" w:cs="Poppins"/>
          <w:b/>
          <w:sz w:val="20"/>
          <w:szCs w:val="20"/>
        </w:rPr>
      </w:pPr>
      <w:r w:rsidRPr="005119AE">
        <w:rPr>
          <w:rFonts w:ascii="Poppins" w:hAnsi="Poppins" w:cs="Poppins"/>
          <w:b/>
          <w:sz w:val="20"/>
          <w:szCs w:val="20"/>
        </w:rPr>
        <w:t>23</w:t>
      </w:r>
      <w:r w:rsidRPr="005119AE">
        <w:rPr>
          <w:rFonts w:ascii="Poppins" w:hAnsi="Poppins" w:cs="Poppins"/>
          <w:b/>
          <w:sz w:val="20"/>
          <w:szCs w:val="20"/>
          <w:vertAlign w:val="superscript"/>
        </w:rPr>
        <w:t>rd</w:t>
      </w:r>
      <w:r w:rsidRPr="005119AE">
        <w:rPr>
          <w:rFonts w:ascii="Poppins" w:hAnsi="Poppins" w:cs="Poppins"/>
          <w:b/>
          <w:sz w:val="20"/>
          <w:szCs w:val="20"/>
        </w:rPr>
        <w:t xml:space="preserve"> </w:t>
      </w:r>
      <w:r w:rsidR="005757AF" w:rsidRPr="005119AE">
        <w:rPr>
          <w:rFonts w:ascii="Poppins" w:hAnsi="Poppins" w:cs="Poppins"/>
          <w:b/>
          <w:sz w:val="20"/>
          <w:szCs w:val="20"/>
        </w:rPr>
        <w:t>July 2024</w:t>
      </w:r>
      <w:r w:rsidRPr="005119AE">
        <w:rPr>
          <w:rFonts w:ascii="Poppins" w:hAnsi="Poppins" w:cs="Poppins"/>
          <w:b/>
          <w:sz w:val="20"/>
          <w:szCs w:val="20"/>
        </w:rPr>
        <w:t xml:space="preserve"> 10:00 – 12:</w:t>
      </w:r>
      <w:r w:rsidR="00A71D51" w:rsidRPr="005119AE">
        <w:rPr>
          <w:rFonts w:ascii="Poppins" w:hAnsi="Poppins" w:cs="Poppins"/>
          <w:b/>
          <w:sz w:val="20"/>
          <w:szCs w:val="20"/>
        </w:rPr>
        <w:t>30</w:t>
      </w:r>
      <w:r w:rsidR="00A92067" w:rsidRPr="005119AE">
        <w:rPr>
          <w:rFonts w:ascii="Poppins" w:hAnsi="Poppins" w:cs="Poppins"/>
          <w:b/>
          <w:sz w:val="20"/>
          <w:szCs w:val="20"/>
        </w:rPr>
        <w:t xml:space="preserve"> - </w:t>
      </w:r>
      <w:r w:rsidR="005108C4" w:rsidRPr="005119AE">
        <w:rPr>
          <w:rFonts w:ascii="Poppins" w:hAnsi="Poppins" w:cs="Poppins"/>
          <w:b/>
          <w:sz w:val="20"/>
          <w:szCs w:val="20"/>
        </w:rPr>
        <w:t>Healthwatch Boardroom</w:t>
      </w:r>
    </w:p>
    <w:p w14:paraId="47AAD5E9" w14:textId="77CB04FB" w:rsidR="00A40A8C" w:rsidRPr="005119AE" w:rsidRDefault="00A40A8C" w:rsidP="00A40A8C">
      <w:pPr>
        <w:spacing w:after="0" w:line="240" w:lineRule="auto"/>
        <w:rPr>
          <w:rFonts w:ascii="Poppins" w:hAnsi="Poppins" w:cs="Poppins"/>
          <w:sz w:val="20"/>
          <w:szCs w:val="20"/>
        </w:rPr>
      </w:pPr>
      <w:r w:rsidRPr="005119AE">
        <w:rPr>
          <w:rFonts w:ascii="Poppins" w:hAnsi="Poppins" w:cs="Poppins"/>
          <w:sz w:val="20"/>
          <w:szCs w:val="20"/>
        </w:rPr>
        <w:t>This is an “in public” meeting.  There is an opportunity for members of the public to bring matters of interest or concern to the attention of the Healthwatch Cornwall Board in item 3.  Intention to do so should be notified to Healthwatch Cornwall by Tuesday 16</w:t>
      </w:r>
      <w:r w:rsidRPr="005119AE">
        <w:rPr>
          <w:rFonts w:ascii="Poppins" w:hAnsi="Poppins" w:cs="Poppins"/>
          <w:sz w:val="20"/>
          <w:szCs w:val="20"/>
          <w:vertAlign w:val="superscript"/>
        </w:rPr>
        <w:t>th</w:t>
      </w:r>
      <w:r w:rsidRPr="005119AE">
        <w:rPr>
          <w:rFonts w:ascii="Poppins" w:hAnsi="Poppins" w:cs="Poppins"/>
          <w:sz w:val="20"/>
          <w:szCs w:val="20"/>
        </w:rPr>
        <w:t xml:space="preserve"> July 2024.  We will note matters raised and reply after the meeting.  The meeting will then proceed to the Part 1 agenda, as shown below, which people are welcome to observe.</w:t>
      </w:r>
    </w:p>
    <w:p w14:paraId="40DD0722" w14:textId="77777777" w:rsidR="00A92067" w:rsidRPr="005119AE" w:rsidRDefault="00A92067" w:rsidP="00CC65B5">
      <w:pPr>
        <w:suppressAutoHyphens/>
        <w:autoSpaceDN w:val="0"/>
        <w:spacing w:after="0" w:line="240" w:lineRule="auto"/>
        <w:rPr>
          <w:rFonts w:ascii="Poppins" w:eastAsiaTheme="majorEastAsia" w:hAnsi="Poppins" w:cs="Poppins"/>
          <w:b/>
          <w:sz w:val="24"/>
          <w:szCs w:val="32"/>
        </w:rPr>
      </w:pPr>
    </w:p>
    <w:p w14:paraId="1898A79B" w14:textId="42187F6B" w:rsidR="00CC65B5" w:rsidRPr="005119AE" w:rsidRDefault="00CC65B5" w:rsidP="00CC65B5">
      <w:pPr>
        <w:suppressAutoHyphens/>
        <w:autoSpaceDN w:val="0"/>
        <w:spacing w:after="0" w:line="240" w:lineRule="auto"/>
        <w:rPr>
          <w:rFonts w:ascii="Poppins" w:eastAsia="Calibri" w:hAnsi="Poppins" w:cs="Poppins"/>
          <w:b/>
          <w:bCs/>
          <w:sz w:val="20"/>
          <w:szCs w:val="20"/>
          <w:u w:val="single"/>
        </w:rPr>
      </w:pPr>
      <w:r w:rsidRPr="005119AE">
        <w:rPr>
          <w:rFonts w:ascii="Poppins" w:eastAsia="Calibri" w:hAnsi="Poppins" w:cs="Poppins"/>
          <w:b/>
          <w:bCs/>
          <w:sz w:val="20"/>
          <w:szCs w:val="20"/>
          <w:u w:val="single"/>
        </w:rPr>
        <w:t xml:space="preserve">Part 1: </w:t>
      </w:r>
      <w:r w:rsidR="00A40A8C" w:rsidRPr="005119AE">
        <w:rPr>
          <w:rFonts w:ascii="Poppins" w:eastAsia="Calibri" w:hAnsi="Poppins" w:cs="Poppins"/>
          <w:b/>
          <w:bCs/>
          <w:sz w:val="20"/>
          <w:szCs w:val="20"/>
          <w:u w:val="single"/>
        </w:rPr>
        <w:t xml:space="preserve">In public agenda </w:t>
      </w:r>
    </w:p>
    <w:tbl>
      <w:tblPr>
        <w:tblW w:w="8833" w:type="dxa"/>
        <w:tblInd w:w="93" w:type="dxa"/>
        <w:tblLayout w:type="fixed"/>
        <w:tblCellMar>
          <w:left w:w="10" w:type="dxa"/>
          <w:right w:w="10" w:type="dxa"/>
        </w:tblCellMar>
        <w:tblLook w:val="0000" w:firstRow="0" w:lastRow="0" w:firstColumn="0" w:lastColumn="0" w:noHBand="0" w:noVBand="0"/>
      </w:tblPr>
      <w:tblGrid>
        <w:gridCol w:w="1242"/>
        <w:gridCol w:w="6598"/>
        <w:gridCol w:w="993"/>
      </w:tblGrid>
      <w:tr w:rsidR="00A40A8C" w:rsidRPr="005119AE" w14:paraId="07573F84" w14:textId="405AF7C9" w:rsidTr="005119AE">
        <w:trPr>
          <w:trHeight w:val="609"/>
        </w:trPr>
        <w:tc>
          <w:tcPr>
            <w:tcW w:w="1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62A8E5" w14:textId="77777777" w:rsidR="00A40A8C" w:rsidRPr="005119AE" w:rsidRDefault="00A40A8C" w:rsidP="005119AE">
            <w:pPr>
              <w:suppressAutoHyphens/>
              <w:autoSpaceDN w:val="0"/>
              <w:spacing w:after="0" w:line="240" w:lineRule="auto"/>
              <w:rPr>
                <w:rFonts w:ascii="Poppins" w:eastAsia="Calibri" w:hAnsi="Poppins" w:cs="Poppins"/>
                <w:b/>
                <w:bCs/>
                <w:sz w:val="20"/>
                <w:szCs w:val="20"/>
              </w:rPr>
            </w:pPr>
            <w:r w:rsidRPr="005119AE">
              <w:rPr>
                <w:rFonts w:ascii="Poppins" w:eastAsia="Calibri" w:hAnsi="Poppins" w:cs="Poppins"/>
                <w:b/>
                <w:bCs/>
                <w:sz w:val="20"/>
                <w:szCs w:val="20"/>
              </w:rPr>
              <w:t>Item</w:t>
            </w:r>
          </w:p>
        </w:tc>
        <w:tc>
          <w:tcPr>
            <w:tcW w:w="6598"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6AF62CE2" w14:textId="77777777" w:rsidR="00A40A8C" w:rsidRPr="005119AE" w:rsidRDefault="00A40A8C" w:rsidP="005119AE">
            <w:pPr>
              <w:suppressAutoHyphens/>
              <w:autoSpaceDN w:val="0"/>
              <w:spacing w:after="0" w:line="240" w:lineRule="auto"/>
              <w:rPr>
                <w:rFonts w:ascii="Poppins" w:eastAsia="Calibri" w:hAnsi="Poppins" w:cs="Poppins"/>
                <w:b/>
                <w:bCs/>
                <w:sz w:val="20"/>
                <w:szCs w:val="20"/>
              </w:rPr>
            </w:pPr>
            <w:r w:rsidRPr="005119AE">
              <w:rPr>
                <w:rFonts w:ascii="Poppins" w:eastAsia="Calibri" w:hAnsi="Poppins" w:cs="Poppins"/>
                <w:b/>
                <w:bCs/>
                <w:sz w:val="20"/>
                <w:szCs w:val="20"/>
              </w:rPr>
              <w:t>Topic</w:t>
            </w:r>
          </w:p>
        </w:tc>
        <w:tc>
          <w:tcPr>
            <w:tcW w:w="99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399B1E" w14:textId="396CD529" w:rsidR="00A40A8C" w:rsidRPr="005119AE" w:rsidRDefault="00A40A8C" w:rsidP="005119AE">
            <w:pPr>
              <w:suppressAutoHyphens/>
              <w:autoSpaceDN w:val="0"/>
              <w:spacing w:after="0" w:line="240" w:lineRule="auto"/>
              <w:rPr>
                <w:rFonts w:ascii="Poppins" w:eastAsia="Calibri" w:hAnsi="Poppins" w:cs="Poppins"/>
                <w:b/>
                <w:bCs/>
                <w:sz w:val="20"/>
                <w:szCs w:val="20"/>
              </w:rPr>
            </w:pPr>
            <w:r w:rsidRPr="005119AE">
              <w:rPr>
                <w:rFonts w:ascii="Poppins" w:eastAsia="Calibri" w:hAnsi="Poppins" w:cs="Poppins"/>
                <w:b/>
                <w:bCs/>
                <w:sz w:val="20"/>
                <w:szCs w:val="20"/>
              </w:rPr>
              <w:t xml:space="preserve">Presenter </w:t>
            </w:r>
          </w:p>
        </w:tc>
      </w:tr>
      <w:tr w:rsidR="00A40A8C" w:rsidRPr="005119AE" w14:paraId="6ED7E666" w14:textId="557498AB" w:rsidTr="005119AE">
        <w:trPr>
          <w:trHeight w:val="308"/>
        </w:trPr>
        <w:tc>
          <w:tcPr>
            <w:tcW w:w="12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512B" w14:textId="40E6B4BB"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1</w:t>
            </w:r>
          </w:p>
        </w:tc>
        <w:tc>
          <w:tcPr>
            <w:tcW w:w="659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32AA85" w14:textId="77777777" w:rsidR="00A40A8C" w:rsidRPr="005119AE" w:rsidRDefault="00A40A8C"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Welcome and introductions</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tcPr>
          <w:p w14:paraId="52B78FDC" w14:textId="466E4171"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12969A4C" w14:textId="43917448" w:rsidTr="005119AE">
        <w:trPr>
          <w:trHeight w:val="308"/>
        </w:trPr>
        <w:tc>
          <w:tcPr>
            <w:tcW w:w="1242" w:type="dxa"/>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BAEC5A6" w14:textId="5F195462"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2</w:t>
            </w:r>
          </w:p>
        </w:tc>
        <w:tc>
          <w:tcPr>
            <w:tcW w:w="6598" w:type="dxa"/>
            <w:tcBorders>
              <w:bottom w:val="single" w:sz="4" w:space="0" w:color="000000"/>
              <w:right w:val="single" w:sz="4" w:space="0" w:color="000000"/>
            </w:tcBorders>
            <w:shd w:val="clear" w:color="auto" w:fill="D0CECE"/>
            <w:noWrap/>
            <w:tcMar>
              <w:top w:w="0" w:type="dxa"/>
              <w:left w:w="108" w:type="dxa"/>
              <w:bottom w:w="0" w:type="dxa"/>
              <w:right w:w="108" w:type="dxa"/>
            </w:tcMar>
          </w:tcPr>
          <w:p w14:paraId="2AE14F0B" w14:textId="54FE13EE" w:rsidR="00A40A8C" w:rsidRPr="005119AE" w:rsidRDefault="00A40A8C"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Apologies</w:t>
            </w:r>
          </w:p>
        </w:tc>
        <w:tc>
          <w:tcPr>
            <w:tcW w:w="993" w:type="dxa"/>
            <w:tcBorders>
              <w:bottom w:val="single" w:sz="4" w:space="0" w:color="000000"/>
              <w:right w:val="single" w:sz="4" w:space="0" w:color="000000"/>
            </w:tcBorders>
            <w:shd w:val="clear" w:color="auto" w:fill="D0CECE"/>
            <w:tcMar>
              <w:top w:w="0" w:type="dxa"/>
              <w:left w:w="108" w:type="dxa"/>
              <w:bottom w:w="0" w:type="dxa"/>
              <w:right w:w="108" w:type="dxa"/>
            </w:tcMar>
          </w:tcPr>
          <w:p w14:paraId="051E401D" w14:textId="0FCEE991"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4A1E91FC" w14:textId="77777777" w:rsidTr="005119AE">
        <w:trPr>
          <w:trHeight w:val="308"/>
        </w:trPr>
        <w:tc>
          <w:tcPr>
            <w:tcW w:w="12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9A18" w14:textId="69C7189A"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3</w:t>
            </w:r>
          </w:p>
        </w:tc>
        <w:tc>
          <w:tcPr>
            <w:tcW w:w="659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A60A9" w14:textId="1894DF0F"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 xml:space="preserve">Questions and comments from the public </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tcPr>
          <w:p w14:paraId="07AB1A5A" w14:textId="171A5D0E"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2F4527A0" w14:textId="77777777" w:rsidTr="005119AE">
        <w:trPr>
          <w:trHeight w:val="308"/>
        </w:trPr>
        <w:tc>
          <w:tcPr>
            <w:tcW w:w="1242" w:type="dxa"/>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A60B0EA" w14:textId="53C6AB14"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4</w:t>
            </w:r>
          </w:p>
        </w:tc>
        <w:tc>
          <w:tcPr>
            <w:tcW w:w="6598" w:type="dxa"/>
            <w:tcBorders>
              <w:bottom w:val="single" w:sz="4" w:space="0" w:color="000000"/>
              <w:right w:val="single" w:sz="4" w:space="0" w:color="000000"/>
            </w:tcBorders>
            <w:shd w:val="clear" w:color="auto" w:fill="D0CECE"/>
            <w:noWrap/>
            <w:tcMar>
              <w:top w:w="0" w:type="dxa"/>
              <w:left w:w="108" w:type="dxa"/>
              <w:bottom w:w="0" w:type="dxa"/>
              <w:right w:w="108" w:type="dxa"/>
            </w:tcMar>
          </w:tcPr>
          <w:p w14:paraId="4A6FF3F3" w14:textId="6D8FD0F7"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 xml:space="preserve">Declarations of interest </w:t>
            </w:r>
          </w:p>
        </w:tc>
        <w:tc>
          <w:tcPr>
            <w:tcW w:w="993" w:type="dxa"/>
            <w:tcBorders>
              <w:bottom w:val="single" w:sz="4" w:space="0" w:color="000000"/>
              <w:right w:val="single" w:sz="4" w:space="0" w:color="000000"/>
            </w:tcBorders>
            <w:shd w:val="clear" w:color="auto" w:fill="D0CECE"/>
            <w:tcMar>
              <w:top w:w="0" w:type="dxa"/>
              <w:left w:w="108" w:type="dxa"/>
              <w:bottom w:w="0" w:type="dxa"/>
              <w:right w:w="108" w:type="dxa"/>
            </w:tcMar>
          </w:tcPr>
          <w:p w14:paraId="43EE7D2E" w14:textId="22540263"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638D5547" w14:textId="6E38714F" w:rsidTr="005119AE">
        <w:trPr>
          <w:trHeight w:val="308"/>
        </w:trPr>
        <w:tc>
          <w:tcPr>
            <w:tcW w:w="12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708D9" w14:textId="7FD22041"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5</w:t>
            </w:r>
          </w:p>
        </w:tc>
        <w:tc>
          <w:tcPr>
            <w:tcW w:w="659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0B4001" w14:textId="3BAF1F2E"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Minutes from meeting May 2024</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tcPr>
          <w:p w14:paraId="0CB535A8" w14:textId="21A1A48A"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 xml:space="preserve">KJ </w:t>
            </w:r>
          </w:p>
        </w:tc>
      </w:tr>
      <w:tr w:rsidR="00A40A8C" w:rsidRPr="005119AE" w14:paraId="14867E7A" w14:textId="2732AC9E" w:rsidTr="005119AE">
        <w:trPr>
          <w:trHeight w:val="308"/>
        </w:trPr>
        <w:tc>
          <w:tcPr>
            <w:tcW w:w="1242" w:type="dxa"/>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216DE9D" w14:textId="4FFA21A8"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6</w:t>
            </w:r>
          </w:p>
        </w:tc>
        <w:tc>
          <w:tcPr>
            <w:tcW w:w="6598" w:type="dxa"/>
            <w:tcBorders>
              <w:bottom w:val="single" w:sz="4" w:space="0" w:color="000000"/>
              <w:right w:val="single" w:sz="4" w:space="0" w:color="000000"/>
            </w:tcBorders>
            <w:shd w:val="clear" w:color="auto" w:fill="D0CECE"/>
            <w:noWrap/>
            <w:tcMar>
              <w:top w:w="0" w:type="dxa"/>
              <w:left w:w="108" w:type="dxa"/>
              <w:bottom w:w="0" w:type="dxa"/>
              <w:right w:w="108" w:type="dxa"/>
            </w:tcMar>
          </w:tcPr>
          <w:p w14:paraId="52671C61" w14:textId="2F715BD4" w:rsidR="003E1F13"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 xml:space="preserve">Actions/matters arising </w:t>
            </w:r>
          </w:p>
        </w:tc>
        <w:tc>
          <w:tcPr>
            <w:tcW w:w="993" w:type="dxa"/>
            <w:tcBorders>
              <w:bottom w:val="single" w:sz="4" w:space="0" w:color="000000"/>
              <w:right w:val="single" w:sz="4" w:space="0" w:color="000000"/>
            </w:tcBorders>
            <w:shd w:val="clear" w:color="auto" w:fill="D0CECE"/>
            <w:tcMar>
              <w:top w:w="0" w:type="dxa"/>
              <w:left w:w="108" w:type="dxa"/>
              <w:bottom w:w="0" w:type="dxa"/>
              <w:right w:w="108" w:type="dxa"/>
            </w:tcMar>
          </w:tcPr>
          <w:p w14:paraId="3ADD095F" w14:textId="6C2988B5" w:rsidR="00A40A8C" w:rsidRPr="005119AE" w:rsidRDefault="000B0BB5"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703EDD28" w14:textId="620E27AC" w:rsidTr="005119AE">
        <w:trPr>
          <w:trHeight w:val="2191"/>
        </w:trPr>
        <w:tc>
          <w:tcPr>
            <w:tcW w:w="12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4F8EB" w14:textId="6340DC3E" w:rsidR="00A40A8C" w:rsidRPr="005119AE" w:rsidRDefault="00AA6F44" w:rsidP="005119AE">
            <w:pPr>
              <w:suppressAutoHyphens/>
              <w:autoSpaceDN w:val="0"/>
              <w:spacing w:before="120" w:after="120" w:line="240" w:lineRule="auto"/>
              <w:contextualSpacing/>
              <w:rPr>
                <w:rFonts w:ascii="Poppins" w:eastAsia="Calibri" w:hAnsi="Poppins" w:cs="Poppins"/>
                <w:sz w:val="20"/>
                <w:szCs w:val="20"/>
              </w:rPr>
            </w:pPr>
            <w:r w:rsidRPr="005119AE">
              <w:rPr>
                <w:rFonts w:ascii="Poppins" w:eastAsia="Calibri" w:hAnsi="Poppins" w:cs="Poppins"/>
                <w:sz w:val="20"/>
                <w:szCs w:val="20"/>
              </w:rPr>
              <w:t>7</w:t>
            </w:r>
          </w:p>
        </w:tc>
        <w:tc>
          <w:tcPr>
            <w:tcW w:w="659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AB7AB2" w14:textId="77777777" w:rsidR="00A40A8C" w:rsidRPr="005119AE" w:rsidRDefault="003E1F13"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Board structure </w:t>
            </w:r>
          </w:p>
          <w:p w14:paraId="048E2F61" w14:textId="77777777" w:rsidR="003E1F13" w:rsidRPr="005119AE" w:rsidRDefault="003E1F13" w:rsidP="005119AE">
            <w:pPr>
              <w:pStyle w:val="ListParagraph"/>
              <w:numPr>
                <w:ilvl w:val="0"/>
                <w:numId w:val="12"/>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Purpose and content</w:t>
            </w:r>
          </w:p>
          <w:p w14:paraId="56E372F7" w14:textId="77777777" w:rsidR="003E1F13" w:rsidRPr="005119AE" w:rsidRDefault="003E1F13" w:rsidP="005119AE">
            <w:pPr>
              <w:pStyle w:val="ListParagraph"/>
              <w:numPr>
                <w:ilvl w:val="0"/>
                <w:numId w:val="12"/>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Number of directors required</w:t>
            </w:r>
          </w:p>
          <w:p w14:paraId="21CCF629" w14:textId="77777777" w:rsidR="003E1F13" w:rsidRPr="005119AE" w:rsidRDefault="003E1F13" w:rsidP="005119AE">
            <w:pPr>
              <w:pStyle w:val="ListParagraph"/>
              <w:numPr>
                <w:ilvl w:val="0"/>
                <w:numId w:val="12"/>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Terms of office</w:t>
            </w:r>
          </w:p>
          <w:p w14:paraId="0DAE876F" w14:textId="77777777" w:rsidR="003E1F13" w:rsidRPr="005119AE" w:rsidRDefault="003E1F13" w:rsidP="005119AE">
            <w:pPr>
              <w:pStyle w:val="ListParagraph"/>
              <w:numPr>
                <w:ilvl w:val="0"/>
                <w:numId w:val="12"/>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Dates of meetings</w:t>
            </w:r>
          </w:p>
          <w:p w14:paraId="4F7E0EAF" w14:textId="7BDF457C" w:rsidR="003E1F13" w:rsidRPr="005119AE" w:rsidRDefault="003E1F13" w:rsidP="005119AE">
            <w:pPr>
              <w:pStyle w:val="ListParagraph"/>
              <w:numPr>
                <w:ilvl w:val="0"/>
                <w:numId w:val="12"/>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Attendance </w:t>
            </w:r>
            <w:r w:rsidR="000B0BB5" w:rsidRPr="005119AE">
              <w:rPr>
                <w:rFonts w:ascii="Poppins" w:eastAsia="Calibri" w:hAnsi="Poppins" w:cs="Poppins"/>
                <w:sz w:val="20"/>
                <w:szCs w:val="20"/>
              </w:rPr>
              <w:t>at</w:t>
            </w:r>
            <w:r w:rsidRPr="005119AE">
              <w:rPr>
                <w:rFonts w:ascii="Poppins" w:eastAsia="Calibri" w:hAnsi="Poppins" w:cs="Poppins"/>
                <w:sz w:val="20"/>
                <w:szCs w:val="20"/>
              </w:rPr>
              <w:t xml:space="preserve"> external boards and committees </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tcPr>
          <w:p w14:paraId="343B58FB" w14:textId="1E2D9D7E" w:rsidR="00A40A8C" w:rsidRPr="005119AE" w:rsidRDefault="003E1F13"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4FA29C34" w14:textId="41C26788" w:rsidTr="005119AE">
        <w:trPr>
          <w:trHeight w:val="308"/>
        </w:trPr>
        <w:tc>
          <w:tcPr>
            <w:tcW w:w="1242" w:type="dxa"/>
            <w:tcBorders>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C7EFD60" w14:textId="48F69371" w:rsidR="00A40A8C" w:rsidRPr="005119AE" w:rsidRDefault="00AA6F44"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8</w:t>
            </w:r>
          </w:p>
        </w:tc>
        <w:tc>
          <w:tcPr>
            <w:tcW w:w="6598" w:type="dxa"/>
            <w:tcBorders>
              <w:bottom w:val="single" w:sz="4" w:space="0" w:color="000000"/>
              <w:right w:val="single" w:sz="4" w:space="0" w:color="000000"/>
            </w:tcBorders>
            <w:shd w:val="clear" w:color="auto" w:fill="BFBFBF" w:themeFill="background1" w:themeFillShade="BF"/>
            <w:noWrap/>
            <w:tcMar>
              <w:top w:w="0" w:type="dxa"/>
              <w:left w:w="108" w:type="dxa"/>
              <w:bottom w:w="0" w:type="dxa"/>
              <w:right w:w="108" w:type="dxa"/>
            </w:tcMar>
            <w:vAlign w:val="bottom"/>
          </w:tcPr>
          <w:p w14:paraId="4ECB09EA" w14:textId="5B173409"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 xml:space="preserve">Governance Report and Action Log  </w:t>
            </w:r>
          </w:p>
        </w:tc>
        <w:tc>
          <w:tcPr>
            <w:tcW w:w="993" w:type="dxa"/>
            <w:tcBorders>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4AACF20" w14:textId="11B03AA2"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KJ</w:t>
            </w:r>
          </w:p>
        </w:tc>
      </w:tr>
      <w:tr w:rsidR="00A40A8C" w:rsidRPr="005119AE" w14:paraId="78A11CCE" w14:textId="67E5D60B" w:rsidTr="005119AE">
        <w:trPr>
          <w:trHeight w:val="308"/>
        </w:trPr>
        <w:tc>
          <w:tcPr>
            <w:tcW w:w="12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20C3" w14:textId="7538D47F" w:rsidR="00A40A8C" w:rsidRPr="005119AE" w:rsidRDefault="00AA6F44" w:rsidP="005119AE">
            <w:pPr>
              <w:suppressAutoHyphens/>
              <w:autoSpaceDN w:val="0"/>
              <w:spacing w:before="120" w:after="120" w:line="240" w:lineRule="auto"/>
              <w:contextualSpacing/>
              <w:rPr>
                <w:rFonts w:ascii="Poppins" w:eastAsia="Calibri" w:hAnsi="Poppins" w:cs="Poppins"/>
                <w:sz w:val="20"/>
                <w:szCs w:val="20"/>
              </w:rPr>
            </w:pPr>
            <w:r w:rsidRPr="005119AE">
              <w:rPr>
                <w:rFonts w:ascii="Poppins" w:eastAsia="Calibri" w:hAnsi="Poppins" w:cs="Poppins"/>
                <w:sz w:val="20"/>
                <w:szCs w:val="20"/>
              </w:rPr>
              <w:t>9</w:t>
            </w:r>
          </w:p>
        </w:tc>
        <w:tc>
          <w:tcPr>
            <w:tcW w:w="659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903905F" w14:textId="77777777" w:rsidR="00153E59" w:rsidRPr="005119AE" w:rsidRDefault="003E1F13"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CEO Report – </w:t>
            </w:r>
          </w:p>
          <w:p w14:paraId="15419B68" w14:textId="77777777" w:rsidR="005119AE" w:rsidRPr="005119AE" w:rsidRDefault="00153E59" w:rsidP="005119AE">
            <w:pPr>
              <w:pStyle w:val="ListParagraph"/>
              <w:numPr>
                <w:ilvl w:val="0"/>
                <w:numId w:val="15"/>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W</w:t>
            </w:r>
            <w:r w:rsidR="003E1F13" w:rsidRPr="005119AE">
              <w:rPr>
                <w:rFonts w:ascii="Poppins" w:eastAsia="Calibri" w:hAnsi="Poppins" w:cs="Poppins"/>
                <w:sz w:val="20"/>
                <w:szCs w:val="20"/>
              </w:rPr>
              <w:t xml:space="preserve">ork plan 24-29 </w:t>
            </w:r>
          </w:p>
          <w:p w14:paraId="320DBDF4" w14:textId="77777777" w:rsidR="005119AE" w:rsidRDefault="00153E59" w:rsidP="005119AE">
            <w:pPr>
              <w:pStyle w:val="ListParagraph"/>
              <w:numPr>
                <w:ilvl w:val="0"/>
                <w:numId w:val="15"/>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Reports from last year – overview </w:t>
            </w:r>
          </w:p>
          <w:p w14:paraId="1FA47F02" w14:textId="1EA89C11" w:rsidR="009539E8" w:rsidRPr="005119AE" w:rsidRDefault="009539E8" w:rsidP="005119AE">
            <w:pPr>
              <w:pStyle w:val="ListParagraph"/>
              <w:numPr>
                <w:ilvl w:val="0"/>
                <w:numId w:val="15"/>
              </w:numPr>
              <w:suppressAutoHyphens/>
              <w:autoSpaceDN w:val="0"/>
              <w:spacing w:before="120" w:after="120" w:line="240" w:lineRule="auto"/>
              <w:rPr>
                <w:rFonts w:ascii="Poppins" w:eastAsia="Calibri" w:hAnsi="Poppins" w:cs="Poppins"/>
                <w:sz w:val="20"/>
                <w:szCs w:val="20"/>
              </w:rPr>
            </w:pPr>
            <w:r>
              <w:rPr>
                <w:rFonts w:ascii="Poppins" w:eastAsia="Calibri" w:hAnsi="Poppins" w:cs="Poppins"/>
                <w:sz w:val="20"/>
                <w:szCs w:val="20"/>
              </w:rPr>
              <w:t>Open day</w:t>
            </w:r>
          </w:p>
          <w:p w14:paraId="37B7B9CC" w14:textId="7ABCA4DD" w:rsidR="00153E59" w:rsidRPr="005119AE" w:rsidRDefault="00153E59" w:rsidP="005119AE">
            <w:pPr>
              <w:pStyle w:val="ListParagraph"/>
              <w:numPr>
                <w:ilvl w:val="0"/>
                <w:numId w:val="15"/>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Recruitment - Operational restructure </w:t>
            </w:r>
            <w:r w:rsidR="000B0BB5" w:rsidRPr="005119AE">
              <w:rPr>
                <w:rFonts w:ascii="Poppins" w:eastAsia="Calibri" w:hAnsi="Poppins" w:cs="Poppins"/>
                <w:sz w:val="20"/>
                <w:szCs w:val="20"/>
              </w:rPr>
              <w:t xml:space="preserve">and </w:t>
            </w:r>
            <w:r w:rsidRPr="005119AE">
              <w:rPr>
                <w:rFonts w:ascii="Poppins" w:eastAsia="Calibri" w:hAnsi="Poppins" w:cs="Poppins"/>
                <w:sz w:val="20"/>
                <w:szCs w:val="20"/>
              </w:rPr>
              <w:t>organogram</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tcPr>
          <w:p w14:paraId="55ED991A" w14:textId="0863F067" w:rsidR="00A40A8C" w:rsidRPr="005119AE" w:rsidRDefault="003E1F13"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DG </w:t>
            </w:r>
          </w:p>
        </w:tc>
      </w:tr>
      <w:tr w:rsidR="00856709" w:rsidRPr="005119AE" w14:paraId="31607482" w14:textId="77777777" w:rsidTr="005119AE">
        <w:trPr>
          <w:trHeight w:val="355"/>
        </w:trPr>
        <w:tc>
          <w:tcPr>
            <w:tcW w:w="1242" w:type="dxa"/>
            <w:tcBorders>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E0952D3" w14:textId="45DD149A" w:rsidR="00856709" w:rsidRPr="005119AE" w:rsidRDefault="00856709" w:rsidP="005119AE">
            <w:pPr>
              <w:suppressAutoHyphens/>
              <w:autoSpaceDN w:val="0"/>
              <w:spacing w:before="120" w:after="120" w:line="240" w:lineRule="auto"/>
              <w:contextualSpacing/>
              <w:rPr>
                <w:rFonts w:ascii="Poppins" w:eastAsia="Calibri" w:hAnsi="Poppins" w:cs="Poppins"/>
                <w:sz w:val="20"/>
                <w:szCs w:val="20"/>
              </w:rPr>
            </w:pPr>
            <w:r w:rsidRPr="005119AE">
              <w:rPr>
                <w:rFonts w:ascii="Poppins" w:eastAsia="Calibri" w:hAnsi="Poppins" w:cs="Poppins"/>
                <w:sz w:val="20"/>
                <w:szCs w:val="20"/>
              </w:rPr>
              <w:t>10</w:t>
            </w:r>
          </w:p>
        </w:tc>
        <w:tc>
          <w:tcPr>
            <w:tcW w:w="6598" w:type="dxa"/>
            <w:tcBorders>
              <w:bottom w:val="single" w:sz="4" w:space="0" w:color="000000"/>
              <w:right w:val="single" w:sz="4" w:space="0" w:color="000000"/>
            </w:tcBorders>
            <w:shd w:val="clear" w:color="auto" w:fill="BFBFBF" w:themeFill="background1" w:themeFillShade="BF"/>
            <w:noWrap/>
            <w:tcMar>
              <w:top w:w="0" w:type="dxa"/>
              <w:left w:w="108" w:type="dxa"/>
              <w:bottom w:w="0" w:type="dxa"/>
              <w:right w:w="108" w:type="dxa"/>
            </w:tcMar>
            <w:vAlign w:val="bottom"/>
          </w:tcPr>
          <w:p w14:paraId="76BB4FAD" w14:textId="56562D30" w:rsidR="00856709" w:rsidRPr="005119AE" w:rsidRDefault="00856709"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Quarterly update</w:t>
            </w:r>
          </w:p>
        </w:tc>
        <w:tc>
          <w:tcPr>
            <w:tcW w:w="993" w:type="dxa"/>
            <w:tcBorders>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AEC96C3" w14:textId="7F83F979" w:rsidR="00856709" w:rsidRPr="005119AE" w:rsidRDefault="005119AE"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DG</w:t>
            </w:r>
          </w:p>
        </w:tc>
      </w:tr>
      <w:tr w:rsidR="00A40A8C" w:rsidRPr="005119AE" w14:paraId="21959D29" w14:textId="084CEC67" w:rsidTr="005119AE">
        <w:trPr>
          <w:trHeight w:val="308"/>
        </w:trPr>
        <w:tc>
          <w:tcPr>
            <w:tcW w:w="12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FC34" w14:textId="37999A4E" w:rsidR="00A40A8C" w:rsidRPr="005119AE" w:rsidRDefault="00AA6F44" w:rsidP="005119AE">
            <w:pPr>
              <w:suppressAutoHyphens/>
              <w:autoSpaceDN w:val="0"/>
              <w:spacing w:before="120" w:after="120" w:line="240" w:lineRule="auto"/>
              <w:contextualSpacing/>
              <w:rPr>
                <w:rFonts w:ascii="Poppins" w:eastAsia="Calibri" w:hAnsi="Poppins" w:cs="Poppins"/>
                <w:sz w:val="20"/>
                <w:szCs w:val="20"/>
              </w:rPr>
            </w:pPr>
            <w:r w:rsidRPr="005119AE">
              <w:rPr>
                <w:rFonts w:ascii="Poppins" w:eastAsia="Calibri" w:hAnsi="Poppins" w:cs="Poppins"/>
                <w:sz w:val="20"/>
                <w:szCs w:val="20"/>
              </w:rPr>
              <w:t>11</w:t>
            </w:r>
          </w:p>
        </w:tc>
        <w:tc>
          <w:tcPr>
            <w:tcW w:w="659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49B11DB" w14:textId="77777777" w:rsidR="00A40A8C" w:rsidRPr="005119AE" w:rsidRDefault="003E1F13"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Finance Report </w:t>
            </w:r>
          </w:p>
          <w:p w14:paraId="1CEFCB26" w14:textId="77777777" w:rsidR="003E1F13" w:rsidRPr="005119AE" w:rsidRDefault="003E1F13" w:rsidP="005119AE">
            <w:pPr>
              <w:pStyle w:val="ListParagraph"/>
              <w:numPr>
                <w:ilvl w:val="0"/>
                <w:numId w:val="13"/>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Summaries</w:t>
            </w:r>
          </w:p>
          <w:p w14:paraId="2E871954" w14:textId="77777777" w:rsidR="003E1F13" w:rsidRPr="005119AE" w:rsidRDefault="003E1F13" w:rsidP="005119AE">
            <w:pPr>
              <w:pStyle w:val="ListParagraph"/>
              <w:numPr>
                <w:ilvl w:val="0"/>
                <w:numId w:val="13"/>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Year end </w:t>
            </w:r>
          </w:p>
          <w:p w14:paraId="070A29FD" w14:textId="2F8D13AF" w:rsidR="003E1F13" w:rsidRPr="005119AE" w:rsidRDefault="003E1F13" w:rsidP="005119AE">
            <w:pPr>
              <w:pStyle w:val="ListParagraph"/>
              <w:numPr>
                <w:ilvl w:val="0"/>
                <w:numId w:val="13"/>
              </w:num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Financial accountancy summary</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tcPr>
          <w:p w14:paraId="2092A48A" w14:textId="7D7CE0BF" w:rsidR="00A40A8C" w:rsidRPr="005119AE" w:rsidRDefault="00A40A8C" w:rsidP="005119AE">
            <w:pPr>
              <w:suppressAutoHyphens/>
              <w:autoSpaceDN w:val="0"/>
              <w:spacing w:before="120" w:after="120" w:line="240" w:lineRule="auto"/>
              <w:rPr>
                <w:rFonts w:ascii="Poppins" w:eastAsia="Calibri" w:hAnsi="Poppins" w:cs="Poppins"/>
                <w:sz w:val="20"/>
                <w:szCs w:val="20"/>
              </w:rPr>
            </w:pPr>
            <w:r w:rsidRPr="005119AE">
              <w:rPr>
                <w:rFonts w:ascii="Poppins" w:eastAsia="Calibri" w:hAnsi="Poppins" w:cs="Poppins"/>
                <w:sz w:val="20"/>
                <w:szCs w:val="20"/>
              </w:rPr>
              <w:t xml:space="preserve"> </w:t>
            </w:r>
            <w:r w:rsidR="003E1F13" w:rsidRPr="005119AE">
              <w:rPr>
                <w:rFonts w:ascii="Poppins" w:eastAsia="Calibri" w:hAnsi="Poppins" w:cs="Poppins"/>
                <w:sz w:val="20"/>
                <w:szCs w:val="20"/>
              </w:rPr>
              <w:t>DG</w:t>
            </w:r>
          </w:p>
        </w:tc>
      </w:tr>
      <w:tr w:rsidR="00A40A8C" w:rsidRPr="005119AE" w14:paraId="6D5B8573" w14:textId="5B770B04" w:rsidTr="005119AE">
        <w:trPr>
          <w:trHeight w:val="308"/>
        </w:trPr>
        <w:tc>
          <w:tcPr>
            <w:tcW w:w="1242" w:type="dxa"/>
            <w:tcBorders>
              <w:left w:val="single" w:sz="4" w:space="0" w:color="000000"/>
              <w:bottom w:val="single" w:sz="4" w:space="0" w:color="auto"/>
              <w:right w:val="single" w:sz="4" w:space="0" w:color="000000"/>
            </w:tcBorders>
            <w:shd w:val="clear" w:color="auto" w:fill="D0CECE"/>
            <w:tcMar>
              <w:top w:w="0" w:type="dxa"/>
              <w:left w:w="108" w:type="dxa"/>
              <w:bottom w:w="0" w:type="dxa"/>
              <w:right w:w="108" w:type="dxa"/>
            </w:tcMar>
          </w:tcPr>
          <w:p w14:paraId="4EF04296" w14:textId="31672432" w:rsidR="00A40A8C" w:rsidRPr="005119AE" w:rsidRDefault="003E1F13"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1</w:t>
            </w:r>
            <w:r w:rsidR="00856709" w:rsidRPr="005119AE">
              <w:rPr>
                <w:rFonts w:ascii="Poppins" w:eastAsia="Calibri" w:hAnsi="Poppins" w:cs="Poppins"/>
                <w:sz w:val="20"/>
                <w:szCs w:val="20"/>
              </w:rPr>
              <w:t>2</w:t>
            </w:r>
          </w:p>
        </w:tc>
        <w:tc>
          <w:tcPr>
            <w:tcW w:w="6598" w:type="dxa"/>
            <w:tcBorders>
              <w:bottom w:val="single" w:sz="4" w:space="0" w:color="auto"/>
              <w:right w:val="single" w:sz="4" w:space="0" w:color="000000"/>
            </w:tcBorders>
            <w:shd w:val="clear" w:color="auto" w:fill="D0CECE"/>
            <w:noWrap/>
            <w:tcMar>
              <w:top w:w="0" w:type="dxa"/>
              <w:left w:w="108" w:type="dxa"/>
              <w:bottom w:w="0" w:type="dxa"/>
              <w:right w:w="108" w:type="dxa"/>
            </w:tcMar>
          </w:tcPr>
          <w:p w14:paraId="72374723" w14:textId="1A03A65E"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Dilapidations claim</w:t>
            </w:r>
          </w:p>
        </w:tc>
        <w:tc>
          <w:tcPr>
            <w:tcW w:w="993" w:type="dxa"/>
            <w:tcBorders>
              <w:bottom w:val="single" w:sz="4" w:space="0" w:color="auto"/>
              <w:right w:val="single" w:sz="4" w:space="0" w:color="000000"/>
            </w:tcBorders>
            <w:shd w:val="clear" w:color="auto" w:fill="D0CECE"/>
            <w:tcMar>
              <w:top w:w="0" w:type="dxa"/>
              <w:left w:w="108" w:type="dxa"/>
              <w:bottom w:w="0" w:type="dxa"/>
              <w:right w:w="108" w:type="dxa"/>
            </w:tcMar>
          </w:tcPr>
          <w:p w14:paraId="18191943" w14:textId="6A53A3CE"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 xml:space="preserve">DG </w:t>
            </w:r>
          </w:p>
        </w:tc>
      </w:tr>
      <w:tr w:rsidR="00A40A8C" w:rsidRPr="005119AE" w14:paraId="7AEF95A6" w14:textId="55D76219" w:rsidTr="005119AE">
        <w:trPr>
          <w:trHeight w:val="358"/>
        </w:trPr>
        <w:tc>
          <w:tcPr>
            <w:tcW w:w="12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B6F15" w14:textId="41133F6B" w:rsidR="00A40A8C" w:rsidRPr="005119AE" w:rsidRDefault="003E1F13"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1</w:t>
            </w:r>
            <w:r w:rsidR="00856709" w:rsidRPr="005119AE">
              <w:rPr>
                <w:rFonts w:ascii="Poppins" w:eastAsia="Calibri" w:hAnsi="Poppins" w:cs="Poppins"/>
                <w:sz w:val="20"/>
                <w:szCs w:val="20"/>
              </w:rPr>
              <w:t>3</w:t>
            </w:r>
          </w:p>
        </w:tc>
        <w:tc>
          <w:tcPr>
            <w:tcW w:w="6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15E76" w14:textId="62E39971"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DBS/Safeguarding updates</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DF378" w14:textId="20F34AE2" w:rsidR="00A40A8C" w:rsidRPr="005119AE" w:rsidRDefault="003E1F13"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DG</w:t>
            </w:r>
          </w:p>
        </w:tc>
      </w:tr>
      <w:tr w:rsidR="00D24352" w:rsidRPr="005119AE" w14:paraId="72EDF453" w14:textId="77777777" w:rsidTr="005119AE">
        <w:trPr>
          <w:trHeight w:val="358"/>
        </w:trPr>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8C4CFB5" w14:textId="1EAA2EEA" w:rsidR="00D24352" w:rsidRPr="005119AE" w:rsidRDefault="00D24352" w:rsidP="005119AE">
            <w:pPr>
              <w:suppressAutoHyphens/>
              <w:autoSpaceDN w:val="0"/>
              <w:spacing w:after="0" w:line="240" w:lineRule="auto"/>
              <w:contextualSpacing/>
              <w:rPr>
                <w:rFonts w:ascii="Poppins" w:eastAsia="Calibri" w:hAnsi="Poppins" w:cs="Poppins"/>
                <w:sz w:val="20"/>
                <w:szCs w:val="20"/>
              </w:rPr>
            </w:pPr>
            <w:r w:rsidRPr="005119AE">
              <w:rPr>
                <w:rFonts w:ascii="Poppins" w:eastAsia="Calibri" w:hAnsi="Poppins" w:cs="Poppins"/>
                <w:sz w:val="20"/>
                <w:szCs w:val="20"/>
              </w:rPr>
              <w:t>14</w:t>
            </w:r>
          </w:p>
        </w:tc>
        <w:tc>
          <w:tcPr>
            <w:tcW w:w="65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1614D69" w14:textId="136798E8" w:rsidR="00D24352" w:rsidRPr="005119AE" w:rsidRDefault="00D24352"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Policies &amp; Procedures - DPO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CE39C3E" w14:textId="0A027CA1" w:rsidR="00D24352" w:rsidRPr="005119AE" w:rsidRDefault="00D24352" w:rsidP="005119AE">
            <w:pPr>
              <w:suppressAutoHyphens/>
              <w:autoSpaceDN w:val="0"/>
              <w:spacing w:after="0" w:line="240" w:lineRule="auto"/>
              <w:rPr>
                <w:rFonts w:ascii="Poppins" w:eastAsia="Calibri" w:hAnsi="Poppins" w:cs="Poppins"/>
                <w:sz w:val="20"/>
                <w:szCs w:val="20"/>
              </w:rPr>
            </w:pPr>
            <w:r w:rsidRPr="005119AE">
              <w:rPr>
                <w:rFonts w:ascii="Poppins" w:eastAsia="Calibri" w:hAnsi="Poppins" w:cs="Poppins"/>
                <w:sz w:val="20"/>
                <w:szCs w:val="20"/>
              </w:rPr>
              <w:t>DG</w:t>
            </w:r>
          </w:p>
        </w:tc>
      </w:tr>
    </w:tbl>
    <w:p w14:paraId="6CEEE07A" w14:textId="77777777" w:rsidR="008904C1" w:rsidRPr="005119AE" w:rsidRDefault="008904C1" w:rsidP="008904C1">
      <w:pPr>
        <w:keepNext/>
        <w:keepLines/>
        <w:spacing w:before="40" w:after="0"/>
        <w:outlineLvl w:val="1"/>
        <w:rPr>
          <w:rFonts w:ascii="Poppins" w:eastAsiaTheme="majorEastAsia" w:hAnsi="Poppins" w:cs="Poppins"/>
          <w:bCs/>
          <w:color w:val="000000"/>
          <w:sz w:val="24"/>
          <w:szCs w:val="24"/>
        </w:rPr>
      </w:pPr>
    </w:p>
    <w:sectPr w:rsidR="008904C1" w:rsidRPr="005119AE" w:rsidSect="00210DD2">
      <w:headerReference w:type="default" r:id="rId7"/>
      <w:footerReference w:type="default" r:id="rId8"/>
      <w:headerReference w:type="first" r:id="rId9"/>
      <w:footerReference w:type="first" r:id="rId10"/>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1207" w14:textId="77777777" w:rsidR="0093512E" w:rsidRDefault="0093512E">
      <w:pPr>
        <w:spacing w:after="0" w:line="240" w:lineRule="auto"/>
      </w:pPr>
      <w:r>
        <w:separator/>
      </w:r>
    </w:p>
  </w:endnote>
  <w:endnote w:type="continuationSeparator" w:id="0">
    <w:p w14:paraId="23775D1C" w14:textId="77777777" w:rsidR="0093512E" w:rsidRDefault="0093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92430"/>
      <w:docPartObj>
        <w:docPartGallery w:val="Page Numbers (Bottom of Page)"/>
        <w:docPartUnique/>
      </w:docPartObj>
    </w:sdtPr>
    <w:sdtEndPr/>
    <w:sdtContent>
      <w:sdt>
        <w:sdtPr>
          <w:id w:val="1626196317"/>
          <w:docPartObj>
            <w:docPartGallery w:val="Page Numbers (Top of Page)"/>
            <w:docPartUnique/>
          </w:docPartObj>
        </w:sdtPr>
        <w:sdtEndPr/>
        <w:sdtContent>
          <w:p w14:paraId="7033C614" w14:textId="1009A9F8" w:rsidR="00AD4AFD" w:rsidRDefault="00AD4AFD" w:rsidP="00AD4AFD">
            <w:pPr>
              <w:pStyle w:val="Footer"/>
            </w:pPr>
            <w:r>
              <w:t xml:space="preserve">Email address – </w:t>
            </w:r>
            <w:hyperlink r:id="rId1" w:history="1">
              <w:r w:rsidRPr="00D84094">
                <w:rPr>
                  <w:rStyle w:val="Hyperlink"/>
                </w:rPr>
                <w:t>admin@healthwatchcornwall.co.uk</w:t>
              </w:r>
            </w:hyperlink>
          </w:p>
          <w:p w14:paraId="336D29D1" w14:textId="20A007C6" w:rsidR="00192A66" w:rsidRDefault="00AD4AFD" w:rsidP="00AD4AFD">
            <w:pPr>
              <w:pStyle w:val="Footer"/>
            </w:pPr>
            <w:r>
              <w:t xml:space="preserve">Website - </w:t>
            </w:r>
            <w:hyperlink r:id="rId2" w:history="1">
              <w:r>
                <w:rPr>
                  <w:rStyle w:val="Hyperlink"/>
                </w:rPr>
                <w:t>Home | Healthwatch Cornwall</w:t>
              </w:r>
            </w:hyperlink>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873924"/>
      <w:docPartObj>
        <w:docPartGallery w:val="Page Numbers (Bottom of Page)"/>
        <w:docPartUnique/>
      </w:docPartObj>
    </w:sdtPr>
    <w:sdtEndPr/>
    <w:sdtContent>
      <w:sdt>
        <w:sdtPr>
          <w:id w:val="-1769616900"/>
          <w:docPartObj>
            <w:docPartGallery w:val="Page Numbers (Top of Page)"/>
            <w:docPartUnique/>
          </w:docPartObj>
        </w:sdtPr>
        <w:sdtEndPr/>
        <w:sdtContent>
          <w:p w14:paraId="04425538" w14:textId="77777777" w:rsidR="00192A66" w:rsidRDefault="00192A6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FCBFF42" w14:textId="77777777" w:rsidR="00192A66" w:rsidRDefault="0019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91539" w14:textId="77777777" w:rsidR="0093512E" w:rsidRDefault="0093512E">
      <w:pPr>
        <w:spacing w:after="0" w:line="240" w:lineRule="auto"/>
      </w:pPr>
      <w:r>
        <w:separator/>
      </w:r>
    </w:p>
  </w:footnote>
  <w:footnote w:type="continuationSeparator" w:id="0">
    <w:p w14:paraId="1454A69A" w14:textId="77777777" w:rsidR="0093512E" w:rsidRDefault="0093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931A" w14:textId="77777777" w:rsidR="00192A66" w:rsidRDefault="00192A66">
    <w:pPr>
      <w:pStyle w:val="Header"/>
    </w:pPr>
    <w:r>
      <w:rPr>
        <w:noProof/>
      </w:rPr>
      <w:drawing>
        <wp:anchor distT="0" distB="0" distL="114300" distR="114300" simplePos="0" relativeHeight="251660288" behindDoc="0" locked="0" layoutInCell="1" allowOverlap="1" wp14:anchorId="0E03865B" wp14:editId="38461924">
          <wp:simplePos x="0" y="0"/>
          <wp:positionH relativeFrom="column">
            <wp:posOffset>3743325</wp:posOffset>
          </wp:positionH>
          <wp:positionV relativeFrom="paragraph">
            <wp:posOffset>-257810</wp:posOffset>
          </wp:positionV>
          <wp:extent cx="2596896" cy="716280"/>
          <wp:effectExtent l="0" t="0" r="0" b="7620"/>
          <wp:wrapSquare wrapText="bothSides"/>
          <wp:docPr id="138628321" name="Picture 138628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96896" cy="71628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116E" w14:textId="77777777" w:rsidR="00192A66" w:rsidRDefault="00192A66">
    <w:pPr>
      <w:pStyle w:val="Header"/>
    </w:pPr>
    <w:r>
      <w:rPr>
        <w:noProof/>
      </w:rPr>
      <w:drawing>
        <wp:anchor distT="0" distB="0" distL="114300" distR="114300" simplePos="0" relativeHeight="251659264" behindDoc="0" locked="0" layoutInCell="1" allowOverlap="1" wp14:anchorId="743F49E0" wp14:editId="3B020160">
          <wp:simplePos x="0" y="0"/>
          <wp:positionH relativeFrom="margin">
            <wp:posOffset>3876675</wp:posOffset>
          </wp:positionH>
          <wp:positionV relativeFrom="margin">
            <wp:posOffset>-609600</wp:posOffset>
          </wp:positionV>
          <wp:extent cx="2388235" cy="596900"/>
          <wp:effectExtent l="0" t="0" r="0" b="0"/>
          <wp:wrapSquare wrapText="bothSides"/>
          <wp:docPr id="896062129" name="Picture 896062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8235" cy="596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9DD"/>
    <w:multiLevelType w:val="hybridMultilevel"/>
    <w:tmpl w:val="CF26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2689F"/>
    <w:multiLevelType w:val="hybridMultilevel"/>
    <w:tmpl w:val="ED52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6D13"/>
    <w:multiLevelType w:val="multilevel"/>
    <w:tmpl w:val="78E6A8D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71B1A3D"/>
    <w:multiLevelType w:val="multilevel"/>
    <w:tmpl w:val="AC40973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41B4DE2"/>
    <w:multiLevelType w:val="hybridMultilevel"/>
    <w:tmpl w:val="48D0E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750A7F"/>
    <w:multiLevelType w:val="hybridMultilevel"/>
    <w:tmpl w:val="BAE2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D01AF"/>
    <w:multiLevelType w:val="hybridMultilevel"/>
    <w:tmpl w:val="79DEA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1389D"/>
    <w:multiLevelType w:val="multilevel"/>
    <w:tmpl w:val="547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F34BF"/>
    <w:multiLevelType w:val="multilevel"/>
    <w:tmpl w:val="679A1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9515CC"/>
    <w:multiLevelType w:val="hybridMultilevel"/>
    <w:tmpl w:val="B4CEED0E"/>
    <w:lvl w:ilvl="0" w:tplc="D9D41A00">
      <w:start w:val="1"/>
      <w:numFmt w:val="bullet"/>
      <w:lvlText w:val="•"/>
      <w:lvlJc w:val="left"/>
      <w:pPr>
        <w:tabs>
          <w:tab w:val="num" w:pos="720"/>
        </w:tabs>
        <w:ind w:left="720" w:hanging="360"/>
      </w:pPr>
      <w:rPr>
        <w:rFonts w:ascii="Georgia" w:hAnsi="Georgia" w:hint="default"/>
      </w:rPr>
    </w:lvl>
    <w:lvl w:ilvl="1" w:tplc="B18CFD86" w:tentative="1">
      <w:start w:val="1"/>
      <w:numFmt w:val="bullet"/>
      <w:lvlText w:val="•"/>
      <w:lvlJc w:val="left"/>
      <w:pPr>
        <w:tabs>
          <w:tab w:val="num" w:pos="1440"/>
        </w:tabs>
        <w:ind w:left="1440" w:hanging="360"/>
      </w:pPr>
      <w:rPr>
        <w:rFonts w:ascii="Georgia" w:hAnsi="Georgia" w:hint="default"/>
      </w:rPr>
    </w:lvl>
    <w:lvl w:ilvl="2" w:tplc="A7FE439E" w:tentative="1">
      <w:start w:val="1"/>
      <w:numFmt w:val="bullet"/>
      <w:lvlText w:val="•"/>
      <w:lvlJc w:val="left"/>
      <w:pPr>
        <w:tabs>
          <w:tab w:val="num" w:pos="2160"/>
        </w:tabs>
        <w:ind w:left="2160" w:hanging="360"/>
      </w:pPr>
      <w:rPr>
        <w:rFonts w:ascii="Georgia" w:hAnsi="Georgia" w:hint="default"/>
      </w:rPr>
    </w:lvl>
    <w:lvl w:ilvl="3" w:tplc="7A605452" w:tentative="1">
      <w:start w:val="1"/>
      <w:numFmt w:val="bullet"/>
      <w:lvlText w:val="•"/>
      <w:lvlJc w:val="left"/>
      <w:pPr>
        <w:tabs>
          <w:tab w:val="num" w:pos="2880"/>
        </w:tabs>
        <w:ind w:left="2880" w:hanging="360"/>
      </w:pPr>
      <w:rPr>
        <w:rFonts w:ascii="Georgia" w:hAnsi="Georgia" w:hint="default"/>
      </w:rPr>
    </w:lvl>
    <w:lvl w:ilvl="4" w:tplc="476C91FA" w:tentative="1">
      <w:start w:val="1"/>
      <w:numFmt w:val="bullet"/>
      <w:lvlText w:val="•"/>
      <w:lvlJc w:val="left"/>
      <w:pPr>
        <w:tabs>
          <w:tab w:val="num" w:pos="3600"/>
        </w:tabs>
        <w:ind w:left="3600" w:hanging="360"/>
      </w:pPr>
      <w:rPr>
        <w:rFonts w:ascii="Georgia" w:hAnsi="Georgia" w:hint="default"/>
      </w:rPr>
    </w:lvl>
    <w:lvl w:ilvl="5" w:tplc="A98875E8" w:tentative="1">
      <w:start w:val="1"/>
      <w:numFmt w:val="bullet"/>
      <w:lvlText w:val="•"/>
      <w:lvlJc w:val="left"/>
      <w:pPr>
        <w:tabs>
          <w:tab w:val="num" w:pos="4320"/>
        </w:tabs>
        <w:ind w:left="4320" w:hanging="360"/>
      </w:pPr>
      <w:rPr>
        <w:rFonts w:ascii="Georgia" w:hAnsi="Georgia" w:hint="default"/>
      </w:rPr>
    </w:lvl>
    <w:lvl w:ilvl="6" w:tplc="BDB668B0" w:tentative="1">
      <w:start w:val="1"/>
      <w:numFmt w:val="bullet"/>
      <w:lvlText w:val="•"/>
      <w:lvlJc w:val="left"/>
      <w:pPr>
        <w:tabs>
          <w:tab w:val="num" w:pos="5040"/>
        </w:tabs>
        <w:ind w:left="5040" w:hanging="360"/>
      </w:pPr>
      <w:rPr>
        <w:rFonts w:ascii="Georgia" w:hAnsi="Georgia" w:hint="default"/>
      </w:rPr>
    </w:lvl>
    <w:lvl w:ilvl="7" w:tplc="AC467522" w:tentative="1">
      <w:start w:val="1"/>
      <w:numFmt w:val="bullet"/>
      <w:lvlText w:val="•"/>
      <w:lvlJc w:val="left"/>
      <w:pPr>
        <w:tabs>
          <w:tab w:val="num" w:pos="5760"/>
        </w:tabs>
        <w:ind w:left="5760" w:hanging="360"/>
      </w:pPr>
      <w:rPr>
        <w:rFonts w:ascii="Georgia" w:hAnsi="Georgia" w:hint="default"/>
      </w:rPr>
    </w:lvl>
    <w:lvl w:ilvl="8" w:tplc="33909BB6"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6DE112AD"/>
    <w:multiLevelType w:val="multilevel"/>
    <w:tmpl w:val="635EA50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FDE6ED9"/>
    <w:multiLevelType w:val="multilevel"/>
    <w:tmpl w:val="B1D6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825DD"/>
    <w:multiLevelType w:val="hybridMultilevel"/>
    <w:tmpl w:val="8C7E5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893591"/>
    <w:multiLevelType w:val="hybridMultilevel"/>
    <w:tmpl w:val="5894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B6740"/>
    <w:multiLevelType w:val="multilevel"/>
    <w:tmpl w:val="C20850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96314637">
    <w:abstractNumId w:val="2"/>
  </w:num>
  <w:num w:numId="2" w16cid:durableId="659189621">
    <w:abstractNumId w:val="3"/>
  </w:num>
  <w:num w:numId="3" w16cid:durableId="1930313652">
    <w:abstractNumId w:val="10"/>
  </w:num>
  <w:num w:numId="4" w16cid:durableId="1536842622">
    <w:abstractNumId w:val="11"/>
  </w:num>
  <w:num w:numId="5" w16cid:durableId="432361140">
    <w:abstractNumId w:val="7"/>
  </w:num>
  <w:num w:numId="6" w16cid:durableId="1926840374">
    <w:abstractNumId w:val="4"/>
  </w:num>
  <w:num w:numId="7" w16cid:durableId="1738089987">
    <w:abstractNumId w:val="8"/>
  </w:num>
  <w:num w:numId="8" w16cid:durableId="760102583">
    <w:abstractNumId w:val="14"/>
  </w:num>
  <w:num w:numId="9" w16cid:durableId="541405648">
    <w:abstractNumId w:val="5"/>
  </w:num>
  <w:num w:numId="10" w16cid:durableId="381172458">
    <w:abstractNumId w:val="12"/>
  </w:num>
  <w:num w:numId="11" w16cid:durableId="1030689337">
    <w:abstractNumId w:val="6"/>
  </w:num>
  <w:num w:numId="12" w16cid:durableId="1049300455">
    <w:abstractNumId w:val="1"/>
  </w:num>
  <w:num w:numId="13" w16cid:durableId="298413703">
    <w:abstractNumId w:val="13"/>
  </w:num>
  <w:num w:numId="14" w16cid:durableId="305357356">
    <w:abstractNumId w:val="9"/>
  </w:num>
  <w:num w:numId="15" w16cid:durableId="1936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D2"/>
    <w:rsid w:val="000B0BB5"/>
    <w:rsid w:val="000B2541"/>
    <w:rsid w:val="00153E59"/>
    <w:rsid w:val="00167275"/>
    <w:rsid w:val="00192A66"/>
    <w:rsid w:val="00210DD2"/>
    <w:rsid w:val="00241268"/>
    <w:rsid w:val="002769EF"/>
    <w:rsid w:val="00341FB2"/>
    <w:rsid w:val="003E1F13"/>
    <w:rsid w:val="0041680D"/>
    <w:rsid w:val="004E4F93"/>
    <w:rsid w:val="004F720B"/>
    <w:rsid w:val="005108C4"/>
    <w:rsid w:val="005119AE"/>
    <w:rsid w:val="00532E61"/>
    <w:rsid w:val="005677C3"/>
    <w:rsid w:val="005757AF"/>
    <w:rsid w:val="00606C29"/>
    <w:rsid w:val="007A4E71"/>
    <w:rsid w:val="007F6329"/>
    <w:rsid w:val="00856709"/>
    <w:rsid w:val="008904C1"/>
    <w:rsid w:val="0093512E"/>
    <w:rsid w:val="00947453"/>
    <w:rsid w:val="009539E8"/>
    <w:rsid w:val="009D71B1"/>
    <w:rsid w:val="009E0761"/>
    <w:rsid w:val="00A169E0"/>
    <w:rsid w:val="00A324EB"/>
    <w:rsid w:val="00A404C1"/>
    <w:rsid w:val="00A40A8C"/>
    <w:rsid w:val="00A57764"/>
    <w:rsid w:val="00A71D51"/>
    <w:rsid w:val="00A92067"/>
    <w:rsid w:val="00A9359F"/>
    <w:rsid w:val="00AA6F44"/>
    <w:rsid w:val="00AD4AFD"/>
    <w:rsid w:val="00BD4CA9"/>
    <w:rsid w:val="00CA7B8A"/>
    <w:rsid w:val="00CC65B5"/>
    <w:rsid w:val="00D24352"/>
    <w:rsid w:val="00DC4A62"/>
    <w:rsid w:val="00DE6C7B"/>
    <w:rsid w:val="00E663F9"/>
    <w:rsid w:val="00F30A94"/>
    <w:rsid w:val="00F9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66BB"/>
  <w15:chartTrackingRefBased/>
  <w15:docId w15:val="{4638CCCE-9CB6-41EA-AE8A-8359E5E0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DD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210DD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10DD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10DD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10DD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10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DD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10DD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10DD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10DD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10DD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10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DD2"/>
    <w:rPr>
      <w:rFonts w:eastAsiaTheme="majorEastAsia" w:cstheme="majorBidi"/>
      <w:color w:val="272727" w:themeColor="text1" w:themeTint="D8"/>
    </w:rPr>
  </w:style>
  <w:style w:type="paragraph" w:styleId="Title">
    <w:name w:val="Title"/>
    <w:basedOn w:val="Normal"/>
    <w:next w:val="Normal"/>
    <w:link w:val="TitleChar"/>
    <w:uiPriority w:val="10"/>
    <w:qFormat/>
    <w:rsid w:val="00210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D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D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0DD2"/>
    <w:rPr>
      <w:i/>
      <w:iCs/>
      <w:color w:val="404040" w:themeColor="text1" w:themeTint="BF"/>
    </w:rPr>
  </w:style>
  <w:style w:type="paragraph" w:styleId="ListParagraph">
    <w:name w:val="List Paragraph"/>
    <w:basedOn w:val="Normal"/>
    <w:uiPriority w:val="34"/>
    <w:qFormat/>
    <w:rsid w:val="00210DD2"/>
    <w:pPr>
      <w:ind w:left="720"/>
      <w:contextualSpacing/>
    </w:pPr>
  </w:style>
  <w:style w:type="character" w:styleId="IntenseEmphasis">
    <w:name w:val="Intense Emphasis"/>
    <w:basedOn w:val="DefaultParagraphFont"/>
    <w:uiPriority w:val="21"/>
    <w:qFormat/>
    <w:rsid w:val="00210DD2"/>
    <w:rPr>
      <w:i/>
      <w:iCs/>
      <w:color w:val="365F91" w:themeColor="accent1" w:themeShade="BF"/>
    </w:rPr>
  </w:style>
  <w:style w:type="paragraph" w:styleId="IntenseQuote">
    <w:name w:val="Intense Quote"/>
    <w:basedOn w:val="Normal"/>
    <w:next w:val="Normal"/>
    <w:link w:val="IntenseQuoteChar"/>
    <w:uiPriority w:val="30"/>
    <w:qFormat/>
    <w:rsid w:val="00210D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0DD2"/>
    <w:rPr>
      <w:i/>
      <w:iCs/>
      <w:color w:val="365F91" w:themeColor="accent1" w:themeShade="BF"/>
    </w:rPr>
  </w:style>
  <w:style w:type="character" w:styleId="IntenseReference">
    <w:name w:val="Intense Reference"/>
    <w:basedOn w:val="DefaultParagraphFont"/>
    <w:uiPriority w:val="32"/>
    <w:qFormat/>
    <w:rsid w:val="00210DD2"/>
    <w:rPr>
      <w:b/>
      <w:bCs/>
      <w:smallCaps/>
      <w:color w:val="365F91" w:themeColor="accent1" w:themeShade="BF"/>
      <w:spacing w:val="5"/>
    </w:rPr>
  </w:style>
  <w:style w:type="paragraph" w:styleId="Header">
    <w:name w:val="header"/>
    <w:basedOn w:val="Normal"/>
    <w:link w:val="HeaderChar"/>
    <w:unhideWhenUsed/>
    <w:rsid w:val="00210DD2"/>
    <w:pPr>
      <w:tabs>
        <w:tab w:val="center" w:pos="4513"/>
        <w:tab w:val="right" w:pos="9026"/>
      </w:tabs>
      <w:spacing w:after="0" w:line="240" w:lineRule="auto"/>
    </w:pPr>
    <w:rPr>
      <w:rFonts w:ascii="Poppins" w:hAnsi="Poppins"/>
      <w:sz w:val="24"/>
    </w:rPr>
  </w:style>
  <w:style w:type="character" w:customStyle="1" w:styleId="HeaderChar">
    <w:name w:val="Header Char"/>
    <w:basedOn w:val="DefaultParagraphFont"/>
    <w:link w:val="Header"/>
    <w:rsid w:val="00210DD2"/>
    <w:rPr>
      <w:rFonts w:ascii="Poppins" w:hAnsi="Poppins"/>
      <w:sz w:val="24"/>
    </w:rPr>
  </w:style>
  <w:style w:type="paragraph" w:styleId="Footer">
    <w:name w:val="footer"/>
    <w:basedOn w:val="Normal"/>
    <w:link w:val="FooterChar"/>
    <w:uiPriority w:val="99"/>
    <w:unhideWhenUsed/>
    <w:rsid w:val="00210DD2"/>
    <w:pPr>
      <w:tabs>
        <w:tab w:val="center" w:pos="4513"/>
        <w:tab w:val="right" w:pos="9026"/>
      </w:tabs>
      <w:spacing w:after="0" w:line="240" w:lineRule="auto"/>
    </w:pPr>
    <w:rPr>
      <w:rFonts w:ascii="Poppins" w:hAnsi="Poppins"/>
      <w:sz w:val="24"/>
    </w:rPr>
  </w:style>
  <w:style w:type="character" w:customStyle="1" w:styleId="FooterChar">
    <w:name w:val="Footer Char"/>
    <w:basedOn w:val="DefaultParagraphFont"/>
    <w:link w:val="Footer"/>
    <w:uiPriority w:val="99"/>
    <w:rsid w:val="00210DD2"/>
    <w:rPr>
      <w:rFonts w:ascii="Poppins" w:hAnsi="Poppins"/>
      <w:sz w:val="24"/>
    </w:rPr>
  </w:style>
  <w:style w:type="character" w:styleId="Hyperlink">
    <w:name w:val="Hyperlink"/>
    <w:basedOn w:val="DefaultParagraphFont"/>
    <w:uiPriority w:val="99"/>
    <w:unhideWhenUsed/>
    <w:rsid w:val="00AD4AFD"/>
    <w:rPr>
      <w:color w:val="0000FF" w:themeColor="hyperlink"/>
      <w:u w:val="single"/>
    </w:rPr>
  </w:style>
  <w:style w:type="character" w:styleId="UnresolvedMention">
    <w:name w:val="Unresolved Mention"/>
    <w:basedOn w:val="DefaultParagraphFont"/>
    <w:uiPriority w:val="99"/>
    <w:semiHidden/>
    <w:unhideWhenUsed/>
    <w:rsid w:val="00AD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09067">
      <w:bodyDiv w:val="1"/>
      <w:marLeft w:val="0"/>
      <w:marRight w:val="0"/>
      <w:marTop w:val="0"/>
      <w:marBottom w:val="0"/>
      <w:divBdr>
        <w:top w:val="none" w:sz="0" w:space="0" w:color="auto"/>
        <w:left w:val="none" w:sz="0" w:space="0" w:color="auto"/>
        <w:bottom w:val="none" w:sz="0" w:space="0" w:color="auto"/>
        <w:right w:val="none" w:sz="0" w:space="0" w:color="auto"/>
      </w:divBdr>
    </w:div>
    <w:div w:id="1346401273">
      <w:bodyDiv w:val="1"/>
      <w:marLeft w:val="0"/>
      <w:marRight w:val="0"/>
      <w:marTop w:val="0"/>
      <w:marBottom w:val="0"/>
      <w:divBdr>
        <w:top w:val="none" w:sz="0" w:space="0" w:color="auto"/>
        <w:left w:val="none" w:sz="0" w:space="0" w:color="auto"/>
        <w:bottom w:val="none" w:sz="0" w:space="0" w:color="auto"/>
        <w:right w:val="none" w:sz="0" w:space="0" w:color="auto"/>
      </w:divBdr>
    </w:div>
    <w:div w:id="1517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healthwatchcornwall.co.uk/" TargetMode="External"/><Relationship Id="rId1" Type="http://schemas.openxmlformats.org/officeDocument/2006/relationships/hyperlink" Target="mailto:admin@healthwatchcornwa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Gilbert</dc:creator>
  <cp:keywords/>
  <dc:description/>
  <cp:lastModifiedBy>Rachel Benney</cp:lastModifiedBy>
  <cp:revision>7</cp:revision>
  <dcterms:created xsi:type="dcterms:W3CDTF">2024-07-11T13:36:00Z</dcterms:created>
  <dcterms:modified xsi:type="dcterms:W3CDTF">2024-07-11T14:29:00Z</dcterms:modified>
</cp:coreProperties>
</file>